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sz w:val="34"/>
          <w:szCs w:val="34"/>
        </w:rPr>
        <w:t xml:space="preserve">PERSONUPPGIFTSBITRÄDESAVTAL</w:t>
      </w:r>
    </w:p>
    <w:p>
      <w:pPr>
        <w:spacing w:after="60"/>
      </w:pPr>
      <w:r>
        <w:rPr>
          <w:color w:val="555555"/>
          <w:sz w:val="22"/>
          <w:szCs w:val="22"/>
        </w:rPr>
        <w:t xml:space="preserve">Data Processing Agreement (DPA) – artikel 28 GDPR. Anpassat för den nordiska marknaden.</w:t>
      </w:r>
    </w:p>
    <w:p>
      <w:pPr>
        <w:spacing w:after="200"/>
      </w:pPr>
      <w:r>
        <w:rPr>
          <w:i/>
          <w:iCs/>
          <w:color w:val="B0480A"/>
          <w:sz w:val="18"/>
          <w:szCs w:val="18"/>
        </w:rPr>
        <w:t xml:space="preserve">Utkast v0.2 – granskas av jurist före skarp användning. Bilaga A bekräftas mot faktisk teknisk lösning. Fält inom [hakparentes] fylls i.</w:t>
      </w:r>
    </w:p>
    <w:p>
      <w:pPr>
        <w:pStyle w:val="Heading2"/>
      </w:pPr>
      <w:r>
        <w:t xml:space="preserve">Översikt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Personuppgiftsansvarig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[Kundens firma], org.nr [xxxxxx-xxxx]</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Personuppgiftsbiträde</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Exiri Software AB, org.nr [xxxxxx-xxxx]</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Huvudavtal</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Avtal om tillhandahållande av tjänsten Exiri</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Ändamål</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Drift av Exiri-plattformen för kundens genomförande av företagstransaktion(er)</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Typer av personuppgifter</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Identitets- och kontaktuppgifter, inloggningsuppgifter, aktivitets-/loggdata samt uppgifter i uppladdade dokument</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Kategorier av registrerade</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Användare, rådgivare, motparter och deras rådgivare samt personer som förekommer i dokument</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Behandlingsplats</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Inom EU/EES</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Underbiträden</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Enligt Exiris underbiträdesförteckning (separat bilaga)</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Varaktighet</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Huvudavtalets löptid, därefter radering enligt punkt 8</w:t>
            </w:r>
          </w:p>
        </w:tc>
      </w:tr>
    </w:tbl>
    <w:p>
      <w:pPr>
        <w:pStyle w:val="Heading2"/>
      </w:pPr>
      <w:r>
        <w:t xml:space="preserve">1. Bakgrund och företräde</w:t>
      </w:r>
    </w:p>
    <w:p>
      <w:pPr>
        <w:spacing w:after="140"/>
      </w:pPr>
      <w:r>
        <w:t xml:space="preserve">Biträdet tillhandahåller den molnbaserade plattformen Exiri och behandlar därvid personuppgifter för den Personuppgiftsansvariges räkning. Detta avtal reglerar behandlingen enligt artikel 28 GDPR. Vid motstridighet om behandling av personuppgifter har detta avtal företräde framför Huvudavtalet. Begrepp har den innebörd som anges i artikel 4 GDPR.</w:t>
      </w:r>
    </w:p>
    <w:p>
      <w:pPr>
        <w:pStyle w:val="Heading2"/>
      </w:pPr>
      <w:r>
        <w:t xml:space="preserve">2. Instruktioner</w:t>
      </w:r>
    </w:p>
    <w:p>
      <w:pPr>
        <w:spacing w:after="140"/>
      </w:pPr>
      <w:r>
        <w:t xml:space="preserve">Biträdet behandlar personuppgifter endast enligt den Personuppgiftsansvariges dokumenterade instruktioner – varav Huvudavtalet, detta avtal med bilagor samt Översikten ovan utgör de fullständiga instruktionerna vid avtalets ingående – om inte unionsrätt eller svensk rätt kräver annat. Biträdet behandlar inte uppgifter för egna ändamål och informerar utan onödigt dröjsmål om en instruktion bedöms strida mot dataskyddslagstiftning.</w:t>
      </w:r>
    </w:p>
    <w:p>
      <w:pPr>
        <w:pStyle w:val="Heading2"/>
      </w:pPr>
      <w:r>
        <w:t xml:space="preserve">3. Konfidentialitet</w:t>
      </w:r>
    </w:p>
    <w:p>
      <w:pPr>
        <w:spacing w:after="140"/>
      </w:pPr>
      <w:r>
        <w:t xml:space="preserve">Biträdet säkerställer att personer med behörighet att behandla personuppgifterna omfattas av tystnadsplikt och att åtkomst begränsas enligt behov.</w:t>
      </w:r>
    </w:p>
    <w:p>
      <w:pPr>
        <w:pStyle w:val="Heading2"/>
      </w:pPr>
      <w:r>
        <w:t xml:space="preserve">4. Säkerhet</w:t>
      </w:r>
    </w:p>
    <w:p>
      <w:pPr>
        <w:spacing w:after="140"/>
      </w:pPr>
      <w:r>
        <w:t xml:space="preserve">Biträdet vidtar lämpliga tekniska och organisatoriska åtgärder enligt artikel 32 GDPR. Åtgärderna framgår av Bilaga A och får uppdateras under förutsättning att skyddsnivån inte försämras.</w:t>
      </w:r>
    </w:p>
    <w:p>
      <w:pPr>
        <w:pStyle w:val="Heading2"/>
      </w:pPr>
      <w:r>
        <w:t xml:space="preserve">5. Underbiträden</w:t>
      </w:r>
    </w:p>
    <w:p>
      <w:pPr>
        <w:spacing w:after="140"/>
      </w:pPr>
      <w:r>
        <w:t xml:space="preserve">Den Personuppgiftsansvarige godkänner att Biträdet anlitar underbiträden enligt Exiris underbiträdesförteckning. Biträdet informerar minst [30] dagar i förväg om tillägg eller byte och den Personuppgiftsansvarige får invända på saklig grund. Underbiträden binds genom avtal med minst motsvarande skyldigheter, och Biträdet ansvarar för deras behandling.</w:t>
      </w:r>
    </w:p>
    <w:p>
      <w:pPr>
        <w:pStyle w:val="Heading2"/>
      </w:pPr>
      <w:r>
        <w:t xml:space="preserve">6. Överföring till tredjeland</w:t>
      </w:r>
    </w:p>
    <w:p>
      <w:pPr>
        <w:spacing w:after="140"/>
      </w:pPr>
      <w:r>
        <w:t xml:space="preserve">Personuppgifter behandlas inom EU/EES. Överföring till tredjeland sker endast med giltig mekanism enligt kapitel V GDPR, t.ex. adekvansbeslut eller EU-kommissionens standardavtalsklausuler (SCC) med eventuella kompletterande åtgärder.</w:t>
      </w:r>
    </w:p>
    <w:p>
      <w:pPr>
        <w:pStyle w:val="Heading2"/>
      </w:pPr>
      <w:r>
        <w:t xml:space="preserve">7. Bistånd och incidenter</w:t>
      </w:r>
    </w:p>
    <w:p>
      <w:pPr>
        <w:spacing w:after="140"/>
      </w:pPr>
      <w:r>
        <w:t xml:space="preserve">Biträdet bistår, med hänsyn till behandlingens art och tillgänglig information, den Personuppgiftsansvarige med registrerades rättigheter (art. 12–23) samt med säkerhet, incidenthantering, konsekvensbedömning och förhandssamråd (art. 32–36). Biträdet underrättar den Personuppgiftsansvarige utan onödigt dröjsmål efter att ha fått kännedom om en personuppgiftsincident, med den information som rimligen behövs.</w:t>
      </w:r>
    </w:p>
    <w:p>
      <w:pPr>
        <w:pStyle w:val="Heading2"/>
      </w:pPr>
      <w:r>
        <w:t xml:space="preserve">8. Radering eller återlämnande</w:t>
      </w:r>
    </w:p>
    <w:p>
      <w:pPr>
        <w:spacing w:after="140"/>
      </w:pPr>
      <w:r>
        <w:t xml:space="preserve">När behandlingen upphör ska Biträdet, enligt den Personuppgiftsansvariges val, radera eller återlämna samtliga personuppgifter och radera befintliga kopior inom [30] dagar, om inte lag kräver fortsatt lagring. Radering intygas skriftligen på begäran.</w:t>
      </w:r>
    </w:p>
    <w:p>
      <w:pPr>
        <w:pStyle w:val="Heading2"/>
      </w:pPr>
      <w:r>
        <w:t xml:space="preserve">9. Granskning</w:t>
      </w:r>
    </w:p>
    <w:p>
      <w:pPr>
        <w:spacing w:after="140"/>
      </w:pPr>
      <w:r>
        <w:t xml:space="preserve">Biträdet tillhandahåller den information som krävs för att visa efterlevnad av artikel 28 GDPR och möjliggör granskning. Skyldigheten kan helt eller delvis uppfyllas genom dokumentation, intyg eller revisionsrapporter. Granskning aviseras skäligt i förväg och stör inte verksamheten oskäligt.</w:t>
      </w:r>
    </w:p>
    <w:p>
      <w:pPr>
        <w:pStyle w:val="Heading2"/>
      </w:pPr>
      <w:r>
        <w:t xml:space="preserve">10. Ansvar, avtalstid och lagval</w:t>
      </w:r>
    </w:p>
    <w:p>
      <w:pPr>
        <w:spacing w:after="140"/>
      </w:pPr>
      <w:r>
        <w:t xml:space="preserve">Ansvar mellan Parterna regleras av Huvudavtalet; ansvar gentemot registrerade och tillsynsmyndighet följer av artikel 82 GDPR. Avtalet gäller så länge Biträdet behandlar personuppgifter under Huvudavtalet. Svensk rätt tillämpas och tvist avgörs enligt vad som anges i Huvudavtalet.</w:t>
      </w:r>
    </w:p>
    <w:p>
      <w:pPr>
        <w:spacing w:after="120" w:before="220"/>
      </w:pPr>
      <w:r>
        <w:rPr>
          <w:sz w:val="20"/>
          <w:szCs w:val="20"/>
        </w:rPr>
        <w:t xml:space="preserve">Avtalet har upprättats i två exemplar, varav Parterna tagit var sitt.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80"/>
              <w:left w:type="dxa" w:w="0"/>
              <w:bottom w:type="dxa" w:w="80"/>
              <w:right w:type="dxa" w:w="240"/>
            </w:tcMar>
          </w:tcPr>
          <w:p>
            <w:pPr>
              <w:spacing w:after="110"/>
            </w:pPr>
            <w:r>
              <w:t xml:space="preserve">Personuppgiftsansvarig</w:t>
            </w:r>
          </w:p>
          <w:p>
            <w:pPr>
              <w:spacing w:after="110"/>
            </w:pPr>
            <w:r>
              <w:t xml:space="preserve">______________________________</w:t>
            </w:r>
          </w:p>
          <w:p>
            <w:pPr>
              <w:spacing w:after="110"/>
            </w:pPr>
            <w:r>
              <w:t xml:space="preserve">Namn:</w:t>
            </w:r>
          </w:p>
          <w:p>
            <w:pPr>
              <w:spacing w:after="110"/>
            </w:pPr>
            <w:r>
              <w:t xml:space="preserve">Befattning:</w:t>
            </w:r>
          </w:p>
          <w:p>
            <w:pPr>
              <w:spacing w:after="110"/>
            </w:pPr>
            <w:r>
              <w:t xml:space="preserve">Ort och datum:</w:t>
            </w:r>
          </w:p>
        </w:tc>
        <w:tc>
          <w:tcPr>
            <w:tcW w:type="dxa" w:w="4513"/>
            <w:tcBorders>
              <w:top w:val="none" w:color="FFFFFF" w:sz="0"/>
              <w:left w:val="none" w:color="FFFFFF" w:sz="0"/>
              <w:bottom w:val="none" w:color="FFFFFF" w:sz="0"/>
              <w:right w:val="none" w:color="FFFFFF" w:sz="0"/>
            </w:tcBorders>
            <w:tcMar>
              <w:top w:type="dxa" w:w="80"/>
              <w:left w:type="dxa" w:w="0"/>
              <w:bottom w:type="dxa" w:w="80"/>
              <w:right w:type="dxa" w:w="240"/>
            </w:tcMar>
          </w:tcPr>
          <w:p>
            <w:pPr>
              <w:spacing w:after="110"/>
            </w:pPr>
            <w:r>
              <w:t xml:space="preserve">Exiri Software AB</w:t>
            </w:r>
          </w:p>
          <w:p>
            <w:pPr>
              <w:spacing w:after="110"/>
            </w:pPr>
            <w:r>
              <w:t xml:space="preserve">______________________________</w:t>
            </w:r>
          </w:p>
          <w:p>
            <w:pPr>
              <w:spacing w:after="110"/>
            </w:pPr>
            <w:r>
              <w:t xml:space="preserve">Namn:</w:t>
            </w:r>
          </w:p>
          <w:p>
            <w:pPr>
              <w:spacing w:after="110"/>
            </w:pPr>
            <w:r>
              <w:t xml:space="preserve">Befattning:</w:t>
            </w:r>
          </w:p>
          <w:p>
            <w:pPr>
              <w:spacing w:after="110"/>
            </w:pPr>
            <w:r>
              <w:t xml:space="preserve">Ort och datum:</w:t>
            </w:r>
          </w:p>
        </w:tc>
      </w:tr>
    </w:tbl>
    <w:p>
      <w:pPr>
        <w:pStyle w:val="Heading1"/>
        <w:pageBreakBefore/>
      </w:pPr>
      <w:r>
        <w:t xml:space="preserve">Bilaga A – Tekniska och organisatoriska säkerhetsåtgärder</w:t>
      </w:r>
    </w:p>
    <w:p>
      <w:pPr>
        <w:spacing w:after="160" w:before="40"/>
      </w:pPr>
      <w:r>
        <w:rPr>
          <w:i/>
          <w:iCs/>
          <w:color w:val="B0480A"/>
          <w:sz w:val="19"/>
          <w:szCs w:val="19"/>
        </w:rPr>
        <w:t xml:space="preserve">Ska spegla Exiris faktiska lösning – bekräfta varje [hakparentes] med Queenslab.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rPr>
          <w:tblHeader/>
        </w:trPr>
        <w:tc>
          <w:tcPr>
            <w:tcW w:type="dxa" w:w="2700"/>
            <w:tcBorders>
              <w:top w:val="single" w:color="BBBBBB" w:sz="1"/>
              <w:left w:val="single" w:color="BBBBBB" w:sz="1"/>
              <w:bottom w:val="single" w:color="BBBBBB" w:sz="1"/>
              <w:right w:val="single" w:color="BBBBBB" w:sz="1"/>
            </w:tcBorders>
            <w:shd w:fill="1F3A5F" w:val="clear"/>
            <w:tcMar>
              <w:top w:type="dxa" w:w="70"/>
              <w:left w:type="dxa" w:w="120"/>
              <w:bottom w:type="dxa" w:w="70"/>
              <w:right w:type="dxa" w:w="120"/>
            </w:tcMar>
            <w:vAlign w:val="center"/>
          </w:tcPr>
          <w:p>
            <w:r>
              <w:rPr>
                <w:b/>
                <w:bCs/>
                <w:color w:val="FFFFFF"/>
                <w:sz w:val="20"/>
                <w:szCs w:val="20"/>
              </w:rPr>
              <w:t xml:space="preserve">Område</w:t>
            </w:r>
          </w:p>
        </w:tc>
        <w:tc>
          <w:tcPr>
            <w:tcW w:type="dxa" w:w="6326"/>
            <w:tcBorders>
              <w:top w:val="single" w:color="BBBBBB" w:sz="1"/>
              <w:left w:val="single" w:color="BBBBBB" w:sz="1"/>
              <w:bottom w:val="single" w:color="BBBBBB" w:sz="1"/>
              <w:right w:val="single" w:color="BBBBBB" w:sz="1"/>
            </w:tcBorders>
            <w:shd w:fill="1F3A5F" w:val="clear"/>
            <w:tcMar>
              <w:top w:type="dxa" w:w="70"/>
              <w:left w:type="dxa" w:w="120"/>
              <w:bottom w:type="dxa" w:w="70"/>
              <w:right w:type="dxa" w:w="120"/>
            </w:tcMar>
            <w:vAlign w:val="center"/>
          </w:tcPr>
          <w:p>
            <w:r>
              <w:rPr>
                <w:b/>
                <w:bCs/>
                <w:color w:val="FFFFFF"/>
                <w:sz w:val="20"/>
                <w:szCs w:val="20"/>
              </w:rPr>
              <w:t xml:space="preserve">Åtgärd</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Hosting &amp; datalokalisering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Drift inom EU/EES ([Microsoft Azure, region ___]).</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Kryptering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Under överföring (TLS) och i vila ([AES-256]).</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Åtkomst &amp; autentisering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Rollbaserad behörighet per användare/projekt/dokument; lösenordskrav och stöd för 2FA.</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Loggning &amp; spårbarhet</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Revisionslogg över åtkomst och åtgärder; spårbar dokument- och medlemskapshantering.</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Separation mellan kunder</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Logisk separation av data mellan kunder/projekt med åtkomstkontroller.</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Säkerhetskopiering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Regelbunden backup och återställningsrutiner. [Bekräfta intervall/retention.]</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Radering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Kontrollerad och spårbar radering vid avtalets upphörande.</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Organisation</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Tystnadsplikt, behovsstyrd åtkomst och rutin för incidenthantering.</w:t>
            </w:r>
          </w:p>
        </w:tc>
      </w:tr>
      <w:tr>
        <w:trPr>
          <w:tblHeader w:val="false"/>
        </w:trPr>
        <w:tc>
          <w:tcPr>
            <w:tcW w:type="dxa" w:w="27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Certifiering/granskning</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[ISO 27001: status ___] [Extern penetrationstest: ___]</w:t>
            </w:r>
          </w:p>
        </w:tc>
      </w:tr>
    </w:tbl>
    <w:p>
      <w:pPr>
        <w:pStyle w:val="Heading1"/>
      </w:pPr>
      <w:r>
        <w:t xml:space="preserve">Bilaga B – Beskrivning av behandlingen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Art</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Insamling, lagring, organisering, läsning, tillhandahållande via åtkomststyrning och radering i molnmiljö.</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Kategorier av registrerade</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Kundens användare och anställda; rådgivare; representanter för köpar-/säljarsida; personer i uppladdade dokument.</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Typer av personuppgifter</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Identitet/kontakt, inloggning, aktivitets-/loggdata samt uppgifter i uppladdade dokument.</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Särskilda kategorier</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Tjänsten är inte avsedd för känsliga uppgifter (art. 9). Förekommer sådana i dokument ansvarar kunden för bedömning och minimering.</w:t>
            </w:r>
          </w:p>
        </w:tc>
      </w:tr>
      <w:tr>
        <w:trPr>
          <w:tblHeader w:val="false"/>
        </w:trPr>
        <w:tc>
          <w:tcPr>
            <w:tcW w:type="dxa" w:w="2700"/>
            <w:tcBorders>
              <w:top w:val="single" w:color="BBBBBB" w:sz="1"/>
              <w:left w:val="single" w:color="BBBBBB" w:sz="1"/>
              <w:bottom w:val="single" w:color="BBBBBB" w:sz="1"/>
              <w:right w:val="single" w:color="BBBBBB" w:sz="1"/>
            </w:tcBorders>
            <w:shd w:fill="EAF0F6" w:val="clear"/>
            <w:tcMar>
              <w:top w:type="dxa" w:w="70"/>
              <w:left w:type="dxa" w:w="120"/>
              <w:bottom w:type="dxa" w:w="70"/>
              <w:right w:type="dxa" w:w="120"/>
            </w:tcMar>
            <w:vAlign w:val="center"/>
          </w:tcPr>
          <w:p>
            <w:r>
              <w:rPr>
                <w:b/>
                <w:bCs/>
                <w:color w:val="000000"/>
                <w:sz w:val="20"/>
                <w:szCs w:val="20"/>
              </w:rPr>
              <w:t xml:space="preserve">Varaktighet</w:t>
            </w:r>
          </w:p>
        </w:tc>
        <w:tc>
          <w:tcPr>
            <w:tcW w:type="dxa" w:w="6326"/>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vAlign w:val="center"/>
          </w:tcPr>
          <w:p>
            <w:r>
              <w:rPr>
                <w:b w:val="false"/>
                <w:bCs w:val="false"/>
                <w:color w:val="000000"/>
                <w:sz w:val="20"/>
                <w:szCs w:val="20"/>
              </w:rPr>
              <w:t xml:space="preserve">Huvudavtalets löptid, därefter enligt punkt 8.</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20"/>
      <w:outlineLvl w:val="0"/>
    </w:pPr>
    <w:rPr>
      <w:rFonts w:ascii="Arial" w:cs="Arial" w:eastAsia="Arial" w:hAnsi="Arial"/>
      <w:b/>
      <w:bCs/>
      <w:color w:val="1F3A5F"/>
      <w:sz w:val="26"/>
      <w:szCs w:val="26"/>
    </w:rPr>
  </w:style>
  <w:style w:type="paragraph" w:styleId="Heading2">
    <w:name w:val="Heading 2"/>
    <w:basedOn w:val="Normal"/>
    <w:next w:val="Normal"/>
    <w:qFormat/>
    <w:pPr>
      <w:spacing w:after="80" w:before="180"/>
      <w:outlineLvl w:val="1"/>
    </w:pPr>
    <w:rPr>
      <w:rFonts w:ascii="Arial" w:cs="Arial" w:eastAsia="Arial" w:hAnsi="Arial"/>
      <w:b/>
      <w:bCs/>
      <w:color w:val="1F3A5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2026-06-01T08:48:53.283Z</dcterms:created>
  <dcterms:modified xsi:type="dcterms:W3CDTF">2026-06-01T08:48:53.299Z</dcterms:modified>
</cp:coreProperties>
</file>

<file path=docProps/custom.xml><?xml version="1.0" encoding="utf-8"?>
<Properties xmlns="http://schemas.openxmlformats.org/officeDocument/2006/custom-properties" xmlns:vt="http://schemas.openxmlformats.org/officeDocument/2006/docPropsVTypes"/>
</file>